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0"/>
              </w:rPr>
              <w:t xml:space="preserve">Приказ Минздрава Свердловской области N 2186-п, Министерства образования Свердловской области N 813-Д от 19.11.2025</w:t>
              <w:br/>
              <w:t xml:space="preserve">"О проведении профилактических медицинских осмотров обучающихся в общеобразовательных организациях и профессиональных образовательных организациях, а также образовательных организациях высшего образования по результатам социально-психологического тестирования на территории Свердловской области в 2025/2026 учебном году"</w:t>
              <w:br/>
              <w:t xml:space="preserve">(вместе с "Перечнем медицинских организаций, ответственных за проведение профилактических медицинских осмотров обучающихся образовательных организаций, расположенных на территории муниципальных образований, расположенных на территории Свердловской области")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19.12.2025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МИНИСТЕРСТВО ЗДРАВООХРАНЕНИЯ СВЕРДЛОВСКОЙ ОБЛАСТИ</w:t>
      </w:r>
    </w:p>
    <w:p>
      <w:pPr>
        <w:pStyle w:val="2"/>
        <w:jc w:val="center"/>
      </w:pPr>
      <w:r>
        <w:rPr>
          <w:sz w:val="24"/>
        </w:rPr>
        <w:t xml:space="preserve">N 2186-п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ОБРАЗОВАНИЯ СВЕРДЛОВСКОЙ ОБЛАСТИ</w:t>
      </w:r>
    </w:p>
    <w:p>
      <w:pPr>
        <w:pStyle w:val="2"/>
        <w:jc w:val="center"/>
      </w:pPr>
      <w:r>
        <w:rPr>
          <w:sz w:val="24"/>
        </w:rPr>
        <w:t xml:space="preserve">N 813-Д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19 ноября 2025 года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ПРОВЕДЕНИИ ПРОФИЛАКТИЧЕСКИХ МЕДИЦИНСКИХ ОСМОТРОВ</w:t>
      </w:r>
    </w:p>
    <w:p>
      <w:pPr>
        <w:pStyle w:val="2"/>
        <w:jc w:val="center"/>
      </w:pPr>
      <w:r>
        <w:rPr>
          <w:sz w:val="24"/>
        </w:rPr>
        <w:t xml:space="preserve">ОБУЧАЮЩИХСЯ В ОБЩЕОБРАЗОВАТЕЛЬНЫХ ОРГАНИЗАЦИЯХ</w:t>
      </w:r>
    </w:p>
    <w:p>
      <w:pPr>
        <w:pStyle w:val="2"/>
        <w:jc w:val="center"/>
      </w:pPr>
      <w:r>
        <w:rPr>
          <w:sz w:val="24"/>
        </w:rPr>
        <w:t xml:space="preserve">И ПРОФЕССИОНАЛЬНЫХ ОБРАЗОВАТЕЛЬНЫХ ОРГАНИЗАЦИЯХ, А ТАКЖЕ</w:t>
      </w:r>
    </w:p>
    <w:p>
      <w:pPr>
        <w:pStyle w:val="2"/>
        <w:jc w:val="center"/>
      </w:pPr>
      <w:r>
        <w:rPr>
          <w:sz w:val="24"/>
        </w:rPr>
        <w:t xml:space="preserve">ОБРАЗОВАТЕЛЬНЫХ ОРГАНИЗАЦИЯХ ВЫСШЕГО ОБРАЗОВАНИЯ</w:t>
      </w:r>
    </w:p>
    <w:p>
      <w:pPr>
        <w:pStyle w:val="2"/>
        <w:jc w:val="center"/>
      </w:pPr>
      <w:r>
        <w:rPr>
          <w:sz w:val="24"/>
        </w:rPr>
        <w:t xml:space="preserve">ПО РЕЗУЛЬТАТАМ СОЦИАЛЬНО-ПСИХОЛОГИЧЕСКОГО ТЕСТИРОВАНИЯ</w:t>
      </w:r>
    </w:p>
    <w:p>
      <w:pPr>
        <w:pStyle w:val="2"/>
        <w:jc w:val="center"/>
      </w:pPr>
      <w:r>
        <w:rPr>
          <w:sz w:val="24"/>
        </w:rPr>
        <w:t xml:space="preserve">НА ТЕРРИТОРИИ СВЕРДЛОВСКОЙ ОБЛАСТИ В 2025/2026 УЧЕБНОМ ГОДУ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целях исполнения </w:t>
      </w:r>
      <w:hyperlink w:history="0" r:id="rId8" w:tooltip="Федеральный закон от 08.01.1998 N 3-ФЗ (ред. от 25.12.2023) &quot;О наркотических средствах и психотропных веществах&quot; {КонсультантПлюс}">
        <w:r>
          <w:rPr>
            <w:sz w:val="24"/>
            <w:color w:val="0000ff"/>
          </w:rPr>
          <w:t xml:space="preserve">статьи 53.4</w:t>
        </w:r>
      </w:hyperlink>
      <w:r>
        <w:rPr>
          <w:sz w:val="24"/>
        </w:rPr>
        <w:t xml:space="preserve"> Федерального закона от 8 января 1998 года N 3-ФЗ "О наркотических средствах и психотропных веществах", Федерального </w:t>
      </w:r>
      <w:hyperlink w:history="0" r:id="rId9" w:tooltip="Федеральный закон от 24.06.1999 N 120-ФЗ (ред. от 01.04.2025) &quot;Об основах системы профилактики безнадзорности и правонарушений несовершеннолетних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24 июня 1999 года N 120-ФЗ "Об основах системы профилактики безнадзорности и правонарушений несовершеннолетних", </w:t>
      </w:r>
      <w:hyperlink w:history="0" r:id="rId10" w:tooltip="Федеральный закон от 29.12.2012 N 273-ФЗ (ред. от 15.10.2025) &quot;Об образовании в Российской Федерации&quot; {КонсультантПлюс}">
        <w:r>
          <w:rPr>
            <w:sz w:val="24"/>
            <w:color w:val="0000ff"/>
          </w:rPr>
          <w:t xml:space="preserve">подпункта 15.1 части 3 статьи 28</w:t>
        </w:r>
      </w:hyperlink>
      <w:r>
        <w:rPr>
          <w:sz w:val="24"/>
        </w:rPr>
        <w:t xml:space="preserve"> Федерального закона от 29 декабря 2012 года N 273-ФЗ "Об образовании в Российской Федерации" и в соответствии с </w:t>
      </w:r>
      <w:hyperlink w:history="0" r:id="rId11" w:tooltip="Приказ Минздрава России от 25.04.2025 N 256н &quot;Об утверждении Порядка проведения профилактических медицинских осмотров обучающихся в общеобразовательных организациях и профессиональных образовательных организациях, а также образовательных организациях высшего образования в целях раннего выявления незаконного потребления наркотических средств и психотропных веществ&quot; (Зарегистрировано в Минюсте России 30.05.2025 N 82432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здравоохранения Российской Федерации от 25.04.2025 N 256н "О порядке проведения профилактических медицинских осмотров обучающихся в общеобразовательных организациях и профессиональных образовательных организациях, а также в образовательных организациях высшего образования в целях раннего выявления незаконного потребления наркотических средств и психотропных веществ", </w:t>
      </w:r>
      <w:hyperlink w:history="0" r:id="rId12" w:tooltip="Приказ Минпросвещения России от 20.02.2020 N 59 (ред. от 19.09.2023) &quot;Об утверждении Порядка проведения социально-психологического тестирования обучающихся в общеобразовательных организациях и профессиональных образовательных организациях&quot; (Зарегистрировано в Минюсте России 26.05.2020 N 58468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просвещения Российской Федерации от 20.02.2020 N 59 "Об утверждении Порядка проведения социально-психологического тестирования обучающихся в общеобразовательных организациях и профессиональных образовательных организациях", </w:t>
      </w:r>
      <w:hyperlink w:history="0" r:id="rId13" w:tooltip="Приказ Минобрнауки России от 20.02.2020 N 239 &quot;Об утверждении Порядка проведения социально-психологического тестирования обучающихся в образовательных организациях высшего образования&quot; (Зарегистрировано в Минюсте России 26.05.2020 N 58475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Министерства науки и высшего образования от 20.02.2020 N 239 "Об утверждении Порядка проведения социально-психологического тестирования обучающихся в образовательных организациях высшего образования", для выявления психологических "факторов риска" возможного вовлечения обучающихся в зависимое поведение и организации с ними соответствующей профилактической работы, снижения количества обучающихся, вовлеченных в незаконное потребление наркотических средств и психотропных веществ, приказываем: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Утвердить: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сроки проведения профилактических медицинских осмотров обучающихся в общеобразовательных организациях и профессиональных образовательных организациях, а также в образовательных организациях высшего образования (далее - образовательные организации) в целях выявления незаконного потребления наркотических средств и психотропных веществ (далее - профилактический медицинский осмотр) с 13 января по 27 июня 2026 года;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форму информированного добровольного </w:t>
      </w:r>
      <w:hyperlink w:history="0" w:anchor="P73" w:tooltip="                   ИНФОРМИРОВАННОЕ ДОБРОВОЛЬНОЕ СОГЛАСИЕ">
        <w:r>
          <w:rPr>
            <w:sz w:val="24"/>
            <w:color w:val="0000ff"/>
          </w:rPr>
          <w:t xml:space="preserve">согласия</w:t>
        </w:r>
      </w:hyperlink>
      <w:r>
        <w:rPr>
          <w:sz w:val="24"/>
        </w:rPr>
        <w:t xml:space="preserve"> на проведение профилактического медицинского осмотра по ранней диагностике незаконного потребления наркотических средств и психотропных веществ обучающимися (приложение N 1 к настоящему Приказу);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</w:t>
      </w:r>
      <w:hyperlink w:history="0" w:anchor="P125" w:tooltip="ФОРМА">
        <w:r>
          <w:rPr>
            <w:sz w:val="24"/>
            <w:color w:val="0000ff"/>
          </w:rPr>
          <w:t xml:space="preserve">форму</w:t>
        </w:r>
      </w:hyperlink>
      <w:r>
        <w:rPr>
          <w:sz w:val="24"/>
        </w:rPr>
        <w:t xml:space="preserve"> передачи данных по результатам социально-психологического тестирования обучающихся Свердловской области, направленного на профилактику незаконного потребления обучающимися наркотических средств и психотропных веществ (далее - форма передачи данных) (приложение N 2 к настоящему Приказу);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</w:t>
      </w:r>
      <w:hyperlink w:history="0" w:anchor="P209" w:tooltip="ПЕРЕЧЕНЬ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медицинских организаций Свердловской области, ответственных за проведение профилактических медицинских осмотров обучающихся образовательных организаций, расположенных на территории муниципальных образований, расположенных на территории Свердловской области (приложение N 3 к настоящему Приказу);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форму </w:t>
      </w:r>
      <w:hyperlink w:history="0" w:anchor="P426" w:tooltip="ОТЧЕТ">
        <w:r>
          <w:rPr>
            <w:sz w:val="24"/>
            <w:color w:val="0000ff"/>
          </w:rPr>
          <w:t xml:space="preserve">отчета</w:t>
        </w:r>
      </w:hyperlink>
      <w:r>
        <w:rPr>
          <w:sz w:val="24"/>
        </w:rPr>
        <w:t xml:space="preserve"> о ходе проведения профилактических медицинских осмотров (приложение N 4 к настоящему Приказу).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Министерству образования Свердловской области: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направить по завершении проведения социально-психологического тестирования, направленного на раннее выявление незаконного потребления наркотических средств и психотропных веществ (далее - социально-психологическое тестирование), результаты социально-психологического тестирования по </w:t>
      </w:r>
      <w:hyperlink w:history="0" w:anchor="P125" w:tooltip="ФОРМА">
        <w:r>
          <w:rPr>
            <w:sz w:val="24"/>
            <w:color w:val="0000ff"/>
          </w:rPr>
          <w:t xml:space="preserve">форме</w:t>
        </w:r>
      </w:hyperlink>
      <w:r>
        <w:rPr>
          <w:sz w:val="24"/>
        </w:rPr>
        <w:t xml:space="preserve"> передачи данных в Министерство здравоохранения Свердловской области на адрес электронной почты: i.litvishchenko@egov66.ru;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организовать проведение в образовательных организациях совместно с представителями медицинских организаций информационно-просветительской кампании для обучающихся и родителей (законных представителей) о целях и порядке проведения профилактического медицинского осмотра по результатам проведения социально-психологического тестирования.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Министерству здравоохранения Свердловской области: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обеспечить проведение ежегодных профилактических медицинских осмотров обучающихся в образовательных организациях в целях профилактики незаконного потребления наркотических средств и психотропных веществ;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представить в срок до 1 июля 2026 года в антинаркотическую комиссию Свердловской области отчет по результатам проведения профилактических медицинских осмотров обучающихся в образовательных организациях по </w:t>
      </w:r>
      <w:hyperlink w:history="0" w:anchor="P125" w:tooltip="ФОРМА">
        <w:r>
          <w:rPr>
            <w:sz w:val="24"/>
            <w:color w:val="0000ff"/>
          </w:rPr>
          <w:t xml:space="preserve">форме</w:t>
        </w:r>
      </w:hyperlink>
      <w:r>
        <w:rPr>
          <w:sz w:val="24"/>
        </w:rPr>
        <w:t xml:space="preserve"> передачи данных, утвержденной настоящим Приказом.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Главным врачам медицинских организаций, подведомственных Министерству здравоохранения Свердловской области, ответственных за проведение профилактических медицинских осмотров: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составить список образовательных организаций, участвующих в проведении профилактических медицинских осмотров обучающихся, исходя из численности обучающихся, имеющих риск потребления наркотических средств и психотропных веществ, на основании итогового акта результатов социально-психологического тестирования;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направить список образовательных организаций, участвующих в проведении профилактических медицинских осмотров, в органы местного самоуправления, осуществляющие управление в сфере образования, расположенные на территории муниципальных образований, расположенных на территории Свердловской области (далее - управления образования);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обеспечить составление и согласование с руководителем образовательной организации календарного плана проведения профилактических медицинских осмотров с указанием даты и места их проведения после получения от руководителя (уполномоченного должностного лица) образовательной организации поименных списков обучающихся, подлежащих социально-психологическому тестированию;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организовать проведение профилактических медицинских осмотров;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обеспечить заполнение формы </w:t>
      </w:r>
      <w:hyperlink w:history="0" w:anchor="P426" w:tooltip="ОТЧЕТ">
        <w:r>
          <w:rPr>
            <w:sz w:val="24"/>
            <w:color w:val="0000ff"/>
          </w:rPr>
          <w:t xml:space="preserve">отчета</w:t>
        </w:r>
      </w:hyperlink>
      <w:r>
        <w:rPr>
          <w:sz w:val="24"/>
        </w:rPr>
        <w:t xml:space="preserve"> о ходе проведения профилактических медицинских осмотров, размещенной в "облачном" сервисе по индивидуальному адресу каждой медицинской организации, еженедельно до 12.00 часов понедельника. В случае утраты адреса запрос на его восстановление можно сделать через отдел аналитики и медицинской статистики ГАУЗ СО "Областная наркологическая больница" по адресу электронной почты: onbso-org@mail.ru, телефон: (343) 231-18-17 (доб. 1124).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Возложить персональную ответственность за: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подготовку проведения профилактических медицинских осмотров на руководителей образовательных организаций;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проведение профилактических медицинских осмотров на главных врачей медицинских организаций, расположенных на территории Свердловской области.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Главному внештатному специалисту-наркологу Министерства здравоохранения Свердловской области А.В. Поддубному направлять еженедельно до 14.00 часов вторника информацию о ходе проведения профилактических медицинских осмотров в электронном виде в отдел организации медицинской помощи матерям и детям Министерства здравоохранения Свердловской области на адрес электронной почты: i.litvishchenko@egov66.ru.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7. Рекомендовать руководителям федеральных государственных учреждений здравоохранения Федерального медико-биологического агентства, расположенных на территории Свердловской области, имеющих в составе кабинеты амбулаторного наркологического приема: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составить список образовательных организаций, участвующих в проведении профилактических медицинских осмотров, исходя из численности обучающихся, имеющих риск потребления наркотических средств и психотропных веществ, на основании итогового акта результатов социально-психологического тестирования;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направить список образовательных организаций, участвующих в проведении профилактических медицинских осмотров, в управления образования;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обеспечить составление и согласование с руководителем образовательной организации календарного плана проведения профилактических медицинских осмотров с указанием даты и места их проведения после получения от руководителя (уполномоченного должностного лица) образовательной организации поименных списков обучающихся, подлежащих социально-психологическому тестированию;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организовать проведение ежегодных профилактических медицинских осмотров;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обеспечить заполнение формы </w:t>
      </w:r>
      <w:hyperlink w:history="0" w:anchor="P426" w:tooltip="ОТЧЕТ">
        <w:r>
          <w:rPr>
            <w:sz w:val="24"/>
            <w:color w:val="0000ff"/>
          </w:rPr>
          <w:t xml:space="preserve">отчета</w:t>
        </w:r>
      </w:hyperlink>
      <w:r>
        <w:rPr>
          <w:sz w:val="24"/>
        </w:rPr>
        <w:t xml:space="preserve"> о ходе проведения профилактических медицинских осмотров, размещенной в "облачном" сервисе по индивидуальному адресу каждой медицинской организации, еженедельно до 12.00 часов понедельника. В случае утраты адреса запрос на его восстановление можно сделать через отдел аналитики и медицинской статистики ГАУЗ СО "Областная наркологическая больница" по адресу электронной почты: onbso-org@mail.ru, телефон: (343) 231-18-17 (доб. 1124).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8. Контроль за исполнением настоящего Приказа возложить на Заместителя Министра здравоохранения Свердловской области С.Г. Филлипову и Первого заместителя Министра образования Свердловской области Ж.С. Фрицко.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35"/>
        <w:gridCol w:w="4535"/>
      </w:tblGrid>
      <w:t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Заместитель Губернатора</w:t>
            </w:r>
          </w:p>
          <w:p>
            <w:pPr>
              <w:pStyle w:val="0"/>
            </w:pPr>
            <w:r>
              <w:rPr>
                <w:sz w:val="24"/>
              </w:rPr>
              <w:t xml:space="preserve">Свердловской области -</w:t>
            </w:r>
          </w:p>
          <w:p>
            <w:pPr>
              <w:pStyle w:val="0"/>
            </w:pPr>
            <w:r>
              <w:rPr>
                <w:sz w:val="24"/>
              </w:rPr>
              <w:t xml:space="preserve">Министр здравоохранения</w:t>
            </w:r>
          </w:p>
          <w:p>
            <w:pPr>
              <w:pStyle w:val="0"/>
            </w:pPr>
            <w:r>
              <w:rPr>
                <w:sz w:val="24"/>
              </w:rPr>
              <w:t xml:space="preserve">Свердловской области</w:t>
            </w:r>
          </w:p>
          <w:p>
            <w:pPr>
              <w:pStyle w:val="0"/>
            </w:pPr>
            <w:r>
              <w:rPr>
                <w:sz w:val="24"/>
              </w:rPr>
              <w:t xml:space="preserve">Т.Л.САВИНОВА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И.о. Министра образования</w:t>
            </w:r>
          </w:p>
          <w:p>
            <w:pPr>
              <w:pStyle w:val="0"/>
              <w:jc w:val="right"/>
            </w:pPr>
            <w:r>
              <w:rPr>
                <w:sz w:val="24"/>
              </w:rPr>
              <w:t xml:space="preserve">Свердловской области</w:t>
            </w:r>
          </w:p>
          <w:p>
            <w:pPr>
              <w:pStyle w:val="0"/>
            </w:pPr>
            <w:r>
              <w:rPr>
                <w:sz w:val="24"/>
              </w:rPr>
            </w:r>
          </w:p>
          <w:p>
            <w:pPr>
              <w:pStyle w:val="0"/>
            </w:pPr>
            <w:r>
              <w:rPr>
                <w:sz w:val="24"/>
              </w:rPr>
            </w:r>
          </w:p>
          <w:p>
            <w:pPr>
              <w:pStyle w:val="0"/>
              <w:jc w:val="right"/>
            </w:pPr>
            <w:r>
              <w:rPr>
                <w:sz w:val="24"/>
              </w:rPr>
              <w:t xml:space="preserve">С.Ю.ТРЕНИХИНА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1</w:t>
      </w:r>
    </w:p>
    <w:p>
      <w:pPr>
        <w:pStyle w:val="0"/>
        <w:jc w:val="right"/>
      </w:pPr>
      <w:r>
        <w:rPr>
          <w:sz w:val="24"/>
        </w:rPr>
        <w:t xml:space="preserve">к Приказу</w:t>
      </w:r>
    </w:p>
    <w:p>
      <w:pPr>
        <w:pStyle w:val="0"/>
        <w:jc w:val="right"/>
      </w:pPr>
      <w:r>
        <w:rPr>
          <w:sz w:val="24"/>
        </w:rPr>
        <w:t xml:space="preserve">Министерства здравоохранения</w:t>
      </w:r>
    </w:p>
    <w:p>
      <w:pPr>
        <w:pStyle w:val="0"/>
        <w:jc w:val="right"/>
      </w:pPr>
      <w:r>
        <w:rPr>
          <w:sz w:val="24"/>
        </w:rPr>
        <w:t xml:space="preserve">Свердловской области</w:t>
      </w:r>
    </w:p>
    <w:p>
      <w:pPr>
        <w:pStyle w:val="0"/>
        <w:jc w:val="right"/>
      </w:pPr>
      <w:r>
        <w:rPr>
          <w:sz w:val="24"/>
        </w:rPr>
        <w:t xml:space="preserve">и Министерства образования</w:t>
      </w:r>
    </w:p>
    <w:p>
      <w:pPr>
        <w:pStyle w:val="0"/>
        <w:jc w:val="right"/>
      </w:pPr>
      <w:r>
        <w:rPr>
          <w:sz w:val="24"/>
        </w:rPr>
        <w:t xml:space="preserve">Свердловской области</w:t>
      </w:r>
    </w:p>
    <w:p>
      <w:pPr>
        <w:pStyle w:val="0"/>
        <w:jc w:val="right"/>
      </w:pPr>
      <w:r>
        <w:rPr>
          <w:sz w:val="24"/>
        </w:rPr>
        <w:t xml:space="preserve">от 19 ноября 2025 г. N 2186-п/813-Д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Форма</w:t>
      </w:r>
    </w:p>
    <w:p>
      <w:pPr>
        <w:pStyle w:val="0"/>
        <w:jc w:val="both"/>
      </w:pPr>
      <w:r>
        <w:rPr>
          <w:sz w:val="24"/>
        </w:rPr>
      </w:r>
    </w:p>
    <w:bookmarkStart w:id="73" w:name="P73"/>
    <w:bookmarkEnd w:id="73"/>
    <w:p>
      <w:pPr>
        <w:pStyle w:val="1"/>
        <w:jc w:val="both"/>
      </w:pPr>
      <w:r>
        <w:rPr>
          <w:sz w:val="20"/>
        </w:rPr>
        <w:t xml:space="preserve">                   ИНФОРМИРОВАННОЕ ДОБРОВОЛЬНОЕ СОГЛАСИЕ</w:t>
      </w:r>
    </w:p>
    <w:p>
      <w:pPr>
        <w:pStyle w:val="1"/>
        <w:jc w:val="both"/>
      </w:pPr>
      <w:r>
        <w:rPr>
          <w:sz w:val="20"/>
        </w:rPr>
        <w:t xml:space="preserve">           на проведение профилактического медицинского осмотра</w:t>
      </w:r>
    </w:p>
    <w:p>
      <w:pPr>
        <w:pStyle w:val="1"/>
        <w:jc w:val="both"/>
      </w:pPr>
      <w:r>
        <w:rPr>
          <w:sz w:val="20"/>
        </w:rPr>
        <w:t xml:space="preserve">               по ранней диагностике незаконного потребления</w:t>
      </w:r>
    </w:p>
    <w:p>
      <w:pPr>
        <w:pStyle w:val="1"/>
        <w:jc w:val="both"/>
      </w:pPr>
      <w:r>
        <w:rPr>
          <w:sz w:val="20"/>
        </w:rPr>
        <w:t xml:space="preserve">         наркотических средств и психотропных веществ обучающимися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Я, _______________________________________________________________________,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                  (Ф.И.О. обучающегося старше 15 лет или</w:t>
      </w:r>
    </w:p>
    <w:p>
      <w:pPr>
        <w:pStyle w:val="1"/>
        <w:jc w:val="both"/>
      </w:pPr>
      <w:r>
        <w:rPr>
          <w:sz w:val="20"/>
        </w:rPr>
        <w:t xml:space="preserve">          Ф.И.О. родителя (законного представителя) обучающегося,</w:t>
      </w:r>
    </w:p>
    <w:p>
      <w:pPr>
        <w:pStyle w:val="1"/>
        <w:jc w:val="both"/>
      </w:pPr>
      <w:r>
        <w:rPr>
          <w:sz w:val="20"/>
        </w:rPr>
        <w:t xml:space="preserve">                      не достигшего возраста 15 лет)</w:t>
      </w:r>
    </w:p>
    <w:p>
      <w:pPr>
        <w:pStyle w:val="1"/>
        <w:jc w:val="both"/>
      </w:pPr>
      <w:r>
        <w:rPr>
          <w:sz w:val="20"/>
        </w:rPr>
        <w:t xml:space="preserve">проживающий по адресу: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__________________________________________________________________________,</w:t>
      </w:r>
    </w:p>
    <w:p>
      <w:pPr>
        <w:pStyle w:val="1"/>
        <w:jc w:val="both"/>
      </w:pPr>
      <w:r>
        <w:rPr>
          <w:sz w:val="20"/>
        </w:rPr>
        <w:t xml:space="preserve">                (фактический адрес проживания обучающегося)</w:t>
      </w:r>
    </w:p>
    <w:p>
      <w:pPr>
        <w:pStyle w:val="1"/>
        <w:jc w:val="both"/>
      </w:pPr>
      <w:r>
        <w:rPr>
          <w:sz w:val="20"/>
        </w:rPr>
        <w:t xml:space="preserve">в  соответствии  с требованиями </w:t>
      </w:r>
      <w:hyperlink w:history="0" r:id="rId14" w:tooltip="Федеральный закон от 21.11.2011 N 323-ФЗ (ред. от 23.07.2025) &quot;Об основах охраны здоровья граждан в Российской Федерации&quot; (с изм. и доп., вступ. в силу с 01.09.2025) {КонсультантПлюс}">
        <w:r>
          <w:rPr>
            <w:sz w:val="20"/>
            <w:color w:val="0000ff"/>
          </w:rPr>
          <w:t xml:space="preserve">статьей 20</w:t>
        </w:r>
      </w:hyperlink>
      <w:r>
        <w:rPr>
          <w:sz w:val="20"/>
        </w:rPr>
        <w:t xml:space="preserve"> Федерального закона от 21 ноября</w:t>
      </w:r>
    </w:p>
    <w:p>
      <w:pPr>
        <w:pStyle w:val="1"/>
        <w:jc w:val="both"/>
      </w:pPr>
      <w:r>
        <w:rPr>
          <w:sz w:val="20"/>
        </w:rPr>
        <w:t xml:space="preserve">2011  года  N  323-ФЗ  "Об  основах  охраны  здоровья  граждан в Российской</w:t>
      </w:r>
    </w:p>
    <w:p>
      <w:pPr>
        <w:pStyle w:val="1"/>
        <w:jc w:val="both"/>
      </w:pPr>
      <w:r>
        <w:rPr>
          <w:sz w:val="20"/>
        </w:rPr>
        <w:t xml:space="preserve">Федерации"   даю   информированное   добровольное  согласие  на  проведение</w:t>
      </w:r>
    </w:p>
    <w:p>
      <w:pPr>
        <w:pStyle w:val="1"/>
        <w:jc w:val="both"/>
      </w:pPr>
      <w:r>
        <w:rPr>
          <w:sz w:val="20"/>
        </w:rPr>
        <w:t xml:space="preserve">профилактического  медицинского  осмотра  по ранней диагностике незаконного</w:t>
      </w:r>
    </w:p>
    <w:p>
      <w:pPr>
        <w:pStyle w:val="1"/>
        <w:jc w:val="both"/>
      </w:pPr>
      <w:r>
        <w:rPr>
          <w:sz w:val="20"/>
        </w:rPr>
        <w:t xml:space="preserve">потребления  наркотических  средств  и  психотропных  веществ,  в том числе</w:t>
      </w:r>
    </w:p>
    <w:p>
      <w:pPr>
        <w:pStyle w:val="1"/>
        <w:jc w:val="both"/>
      </w:pPr>
      <w:r>
        <w:rPr>
          <w:sz w:val="20"/>
        </w:rPr>
        <w:t xml:space="preserve">лабораторное (химико-токсикологическое) исследование мочи.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(Ф.И.О. несовершеннолетнего, дата рождения)</w:t>
      </w:r>
    </w:p>
    <w:p>
      <w:pPr>
        <w:pStyle w:val="1"/>
        <w:jc w:val="both"/>
      </w:pPr>
      <w:r>
        <w:rPr>
          <w:sz w:val="20"/>
        </w:rPr>
        <w:t xml:space="preserve">    Подтверждаю,  что  надлежащим  образом  проинформирован(а)  о  методике</w:t>
      </w:r>
    </w:p>
    <w:p>
      <w:pPr>
        <w:pStyle w:val="1"/>
        <w:jc w:val="both"/>
      </w:pPr>
      <w:r>
        <w:rPr>
          <w:sz w:val="20"/>
        </w:rPr>
        <w:t xml:space="preserve">проведения  профилактического  медицинского  осмотра  по ранней диагностике</w:t>
      </w:r>
    </w:p>
    <w:p>
      <w:pPr>
        <w:pStyle w:val="1"/>
        <w:jc w:val="both"/>
      </w:pPr>
      <w:r>
        <w:rPr>
          <w:sz w:val="20"/>
        </w:rPr>
        <w:t xml:space="preserve">незаконного потребления наркотических средств и психотропных веществ.</w:t>
      </w:r>
    </w:p>
    <w:p>
      <w:pPr>
        <w:pStyle w:val="1"/>
        <w:jc w:val="both"/>
      </w:pPr>
      <w:r>
        <w:rPr>
          <w:sz w:val="20"/>
        </w:rPr>
        <w:t xml:space="preserve">    Мне  лично  были  подробно  разъяснены  цели,  характер, методы и объем</w:t>
      </w:r>
    </w:p>
    <w:p>
      <w:pPr>
        <w:pStyle w:val="1"/>
        <w:jc w:val="both"/>
      </w:pPr>
      <w:r>
        <w:rPr>
          <w:sz w:val="20"/>
        </w:rPr>
        <w:t xml:space="preserve">планируемого профилактического осмотра, а также способы его проведения.</w:t>
      </w:r>
    </w:p>
    <w:p>
      <w:pPr>
        <w:pStyle w:val="1"/>
        <w:jc w:val="both"/>
      </w:pPr>
      <w:r>
        <w:rPr>
          <w:sz w:val="20"/>
        </w:rPr>
        <w:t xml:space="preserve">    Я  имел(а)  лично  возможность  задавать любые вопросы и на все вопросы</w:t>
      </w:r>
    </w:p>
    <w:p>
      <w:pPr>
        <w:pStyle w:val="1"/>
        <w:jc w:val="both"/>
      </w:pPr>
      <w:r>
        <w:rPr>
          <w:sz w:val="20"/>
        </w:rPr>
        <w:t xml:space="preserve">получил(а)  исчерпывающие ответы. Я удостоверяю, что текст информированного</w:t>
      </w:r>
    </w:p>
    <w:p>
      <w:pPr>
        <w:pStyle w:val="1"/>
        <w:jc w:val="both"/>
      </w:pPr>
      <w:r>
        <w:rPr>
          <w:sz w:val="20"/>
        </w:rPr>
        <w:t xml:space="preserve">добровольного  согласия  мною  прочитан  полностью,  мне понятно назначение</w:t>
      </w:r>
    </w:p>
    <w:p>
      <w:pPr>
        <w:pStyle w:val="1"/>
        <w:jc w:val="both"/>
      </w:pPr>
      <w:r>
        <w:rPr>
          <w:sz w:val="20"/>
        </w:rPr>
        <w:t xml:space="preserve">настоящего  документа,  полученные  разъяснения  мне  понятны  и  полностью</w:t>
      </w:r>
    </w:p>
    <w:p>
      <w:pPr>
        <w:pStyle w:val="1"/>
        <w:jc w:val="both"/>
      </w:pPr>
      <w:r>
        <w:rPr>
          <w:sz w:val="20"/>
        </w:rPr>
        <w:t xml:space="preserve">удовлетворяют.</w:t>
      </w:r>
    </w:p>
    <w:p>
      <w:pPr>
        <w:pStyle w:val="1"/>
        <w:jc w:val="both"/>
      </w:pPr>
      <w:r>
        <w:rPr>
          <w:sz w:val="20"/>
        </w:rPr>
        <w:t xml:space="preserve">    Мне   разъяснено,   что   я   имею   право   отказаться  от  проведения</w:t>
      </w:r>
    </w:p>
    <w:p>
      <w:pPr>
        <w:pStyle w:val="1"/>
        <w:jc w:val="both"/>
      </w:pPr>
      <w:r>
        <w:rPr>
          <w:sz w:val="20"/>
        </w:rPr>
        <w:t xml:space="preserve">профилактического  медицинского  осмотра  по ранней диагностике незаконного</w:t>
      </w:r>
    </w:p>
    <w:p>
      <w:pPr>
        <w:pStyle w:val="1"/>
        <w:jc w:val="both"/>
      </w:pPr>
      <w:r>
        <w:rPr>
          <w:sz w:val="20"/>
        </w:rPr>
        <w:t xml:space="preserve">потребления наркотических средств и психотропных веществ.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______________________      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(подпись)                            (Ф.И.О. гражданина)</w:t>
      </w:r>
    </w:p>
    <w:p>
      <w:pPr>
        <w:pStyle w:val="1"/>
        <w:jc w:val="both"/>
      </w:pPr>
      <w:r>
        <w:rPr>
          <w:sz w:val="20"/>
        </w:rPr>
        <w:t xml:space="preserve">______________________      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(подпись)                     (Ф.И.О. медицинского работника)</w:t>
      </w:r>
    </w:p>
    <w:p>
      <w:pPr>
        <w:pStyle w:val="1"/>
        <w:jc w:val="both"/>
      </w:pPr>
      <w:r>
        <w:rPr>
          <w:sz w:val="20"/>
        </w:rPr>
        <w:t xml:space="preserve">"__" __________________ ____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2</w:t>
      </w:r>
    </w:p>
    <w:p>
      <w:pPr>
        <w:pStyle w:val="0"/>
        <w:jc w:val="right"/>
      </w:pPr>
      <w:r>
        <w:rPr>
          <w:sz w:val="24"/>
        </w:rPr>
        <w:t xml:space="preserve">к Приказу</w:t>
      </w:r>
    </w:p>
    <w:p>
      <w:pPr>
        <w:pStyle w:val="0"/>
        <w:jc w:val="right"/>
      </w:pPr>
      <w:r>
        <w:rPr>
          <w:sz w:val="24"/>
        </w:rPr>
        <w:t xml:space="preserve">Министерства здравоохранения</w:t>
      </w:r>
    </w:p>
    <w:p>
      <w:pPr>
        <w:pStyle w:val="0"/>
        <w:jc w:val="right"/>
      </w:pPr>
      <w:r>
        <w:rPr>
          <w:sz w:val="24"/>
        </w:rPr>
        <w:t xml:space="preserve">Свердловской области</w:t>
      </w:r>
    </w:p>
    <w:p>
      <w:pPr>
        <w:pStyle w:val="0"/>
        <w:jc w:val="right"/>
      </w:pPr>
      <w:r>
        <w:rPr>
          <w:sz w:val="24"/>
        </w:rPr>
        <w:t xml:space="preserve">и Министерства образования</w:t>
      </w:r>
    </w:p>
    <w:p>
      <w:pPr>
        <w:pStyle w:val="0"/>
        <w:jc w:val="right"/>
      </w:pPr>
      <w:r>
        <w:rPr>
          <w:sz w:val="24"/>
        </w:rPr>
        <w:t xml:space="preserve">Свердловской области</w:t>
      </w:r>
    </w:p>
    <w:p>
      <w:pPr>
        <w:pStyle w:val="0"/>
        <w:jc w:val="right"/>
      </w:pPr>
      <w:r>
        <w:rPr>
          <w:sz w:val="24"/>
        </w:rPr>
        <w:t xml:space="preserve">от 19 ноября 2025 г. N 2186-п/813-Д</w:t>
      </w:r>
    </w:p>
    <w:p>
      <w:pPr>
        <w:pStyle w:val="0"/>
        <w:jc w:val="both"/>
      </w:pPr>
      <w:r>
        <w:rPr>
          <w:sz w:val="24"/>
        </w:rPr>
      </w:r>
    </w:p>
    <w:bookmarkStart w:id="125" w:name="P125"/>
    <w:bookmarkEnd w:id="125"/>
    <w:p>
      <w:pPr>
        <w:pStyle w:val="0"/>
        <w:jc w:val="center"/>
      </w:pPr>
      <w:r>
        <w:rPr>
          <w:sz w:val="24"/>
        </w:rPr>
        <w:t xml:space="preserve">ФОРМА</w:t>
      </w:r>
    </w:p>
    <w:p>
      <w:pPr>
        <w:pStyle w:val="0"/>
        <w:jc w:val="center"/>
      </w:pPr>
      <w:r>
        <w:rPr>
          <w:sz w:val="24"/>
        </w:rPr>
        <w:t xml:space="preserve">передачи данных по результатам социально-психологического</w:t>
      </w:r>
    </w:p>
    <w:p>
      <w:pPr>
        <w:pStyle w:val="0"/>
        <w:jc w:val="center"/>
      </w:pPr>
      <w:r>
        <w:rPr>
          <w:sz w:val="24"/>
        </w:rPr>
        <w:t xml:space="preserve">тестирования обучающихся Свердловской области, направленного</w:t>
      </w:r>
    </w:p>
    <w:p>
      <w:pPr>
        <w:pStyle w:val="0"/>
        <w:jc w:val="center"/>
      </w:pPr>
      <w:r>
        <w:rPr>
          <w:sz w:val="24"/>
        </w:rPr>
        <w:t xml:space="preserve">на профилактику незаконного потребления обучающимися</w:t>
      </w:r>
    </w:p>
    <w:p>
      <w:pPr>
        <w:pStyle w:val="0"/>
        <w:jc w:val="center"/>
      </w:pPr>
      <w:r>
        <w:rPr>
          <w:sz w:val="24"/>
        </w:rPr>
        <w:t xml:space="preserve">наркотических средств и психотропных веществ</w:t>
      </w:r>
    </w:p>
    <w:p>
      <w:pPr>
        <w:pStyle w:val="0"/>
        <w:jc w:val="both"/>
      </w:pPr>
      <w:r>
        <w:rPr>
          <w:sz w:val="24"/>
        </w:rPr>
      </w:r>
    </w:p>
    <w:p>
      <w:pPr>
        <w:sectPr>
          <w:headerReference w:type="default" r:id="rId6"/>
          <w:headerReference w:type="first" r:id="rId6"/>
          <w:footerReference w:type="default" r:id="rId7"/>
          <w:footerReference w:type="first" r:id="rId7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"/>
        <w:gridCol w:w="2582"/>
        <w:gridCol w:w="1814"/>
        <w:gridCol w:w="2098"/>
        <w:gridCol w:w="1526"/>
        <w:gridCol w:w="1928"/>
        <w:gridCol w:w="2211"/>
      </w:tblGrid>
      <w:tr>
        <w:tc>
          <w:tcPr>
            <w:tcW w:w="907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Номер строки</w:t>
            </w:r>
          </w:p>
        </w:tc>
        <w:tc>
          <w:tcPr>
            <w:tcW w:w="2582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Сведения об образовательной организации, адрес</w:t>
            </w:r>
          </w:p>
        </w:tc>
        <w:tc>
          <w:tcPr>
            <w:tcW w:w="1814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 обучающихся, подлежащих тестированию (всего)</w:t>
            </w:r>
          </w:p>
        </w:tc>
        <w:tc>
          <w:tcPr>
            <w:gridSpan w:val="2"/>
            <w:tcW w:w="362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Количество участников тестирования</w:t>
            </w:r>
          </w:p>
        </w:tc>
        <w:tc>
          <w:tcPr>
            <w:tcW w:w="19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Сведения о "группе риска" (повышенная вероятность вовлечения)</w:t>
            </w:r>
          </w:p>
        </w:tc>
        <w:tc>
          <w:tcPr>
            <w:tcW w:w="221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Подлежащих профилактическим медицинским осмотрам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209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классы (группы)</w:t>
            </w:r>
          </w:p>
        </w:tc>
        <w:tc>
          <w:tcPr>
            <w:tcW w:w="152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человек</w:t>
            </w:r>
          </w:p>
        </w:tc>
        <w:tc>
          <w:tcPr>
            <w:tcW w:w="19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человек</w:t>
            </w:r>
          </w:p>
        </w:tc>
        <w:tc>
          <w:tcPr>
            <w:tcW w:w="221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человек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 *</w:t>
            </w:r>
          </w:p>
        </w:tc>
        <w:tc>
          <w:tcPr>
            <w:tcW w:w="2582" w:type="dxa"/>
          </w:tcPr>
          <w:p>
            <w:pPr>
              <w:pStyle w:val="0"/>
            </w:pPr>
            <w:r>
              <w:rPr>
                <w:sz w:val="24"/>
              </w:rPr>
              <w:t xml:space="preserve">Муниципальное общеобразовательное учреждение "Средняя общеобразовательная школа N А", адрес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09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 класс</w:t>
            </w:r>
          </w:p>
        </w:tc>
        <w:tc>
          <w:tcPr>
            <w:tcW w:w="152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5303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09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 класс</w:t>
            </w:r>
          </w:p>
        </w:tc>
        <w:tc>
          <w:tcPr>
            <w:tcW w:w="152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vMerge w:val="continue"/>
          </w:tcPr>
          <w:p/>
        </w:tc>
        <w:tc>
          <w:tcPr>
            <w:tcW w:w="209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 класс</w:t>
            </w:r>
          </w:p>
        </w:tc>
        <w:tc>
          <w:tcPr>
            <w:tcW w:w="152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vMerge w:val="continue"/>
          </w:tcPr>
          <w:p/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52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530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Итого по школе</w:t>
            </w:r>
          </w:p>
        </w:tc>
        <w:tc>
          <w:tcPr>
            <w:tcW w:w="152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... **</w:t>
            </w:r>
          </w:p>
        </w:tc>
        <w:tc>
          <w:tcPr>
            <w:tcW w:w="2582" w:type="dxa"/>
          </w:tcPr>
          <w:p>
            <w:pPr>
              <w:pStyle w:val="0"/>
            </w:pPr>
            <w:r>
              <w:rPr>
                <w:sz w:val="24"/>
              </w:rPr>
              <w:t xml:space="preserve">Муниципальное общеобразовательное учреждение "Средняя общеобразовательная школа N В", адрес</w:t>
            </w:r>
          </w:p>
        </w:tc>
        <w:tc>
          <w:tcPr>
            <w:tcW w:w="181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52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5303" w:type="dxa"/>
            <w:vMerge w:val="restart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52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vMerge w:val="continue"/>
          </w:tcPr>
          <w:p/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52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530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Итого по школе</w:t>
            </w:r>
          </w:p>
        </w:tc>
        <w:tc>
          <w:tcPr>
            <w:tcW w:w="152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92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2"/>
            <w:tcW w:w="3489" w:type="dxa"/>
          </w:tcPr>
          <w:p>
            <w:pPr>
              <w:pStyle w:val="0"/>
            </w:pPr>
            <w:r>
              <w:rPr>
                <w:sz w:val="24"/>
              </w:rPr>
              <w:t xml:space="preserve">Итого, подлежащих социально-психологическому тестированию</w:t>
            </w:r>
          </w:p>
        </w:tc>
        <w:tc>
          <w:tcPr>
            <w:tcW w:w="181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...</w:t>
            </w:r>
          </w:p>
        </w:tc>
        <w:tc>
          <w:tcPr>
            <w:tcW w:w="2098" w:type="dxa"/>
          </w:tcPr>
          <w:p>
            <w:pPr>
              <w:pStyle w:val="0"/>
            </w:pPr>
            <w:r>
              <w:rPr>
                <w:sz w:val="24"/>
              </w:rPr>
              <w:t xml:space="preserve">Итого участников</w:t>
            </w:r>
          </w:p>
        </w:tc>
        <w:tc>
          <w:tcPr>
            <w:tcW w:w="152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...</w:t>
            </w:r>
          </w:p>
        </w:tc>
        <w:tc>
          <w:tcPr>
            <w:tcW w:w="19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...</w:t>
            </w:r>
          </w:p>
        </w:tc>
        <w:tc>
          <w:tcPr>
            <w:tcW w:w="221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sectPr>
          <w:headerReference w:type="default" r:id="rId15"/>
          <w:headerReference w:type="first" r:id="rId15"/>
          <w:footerReference w:type="default" r:id="rId16"/>
          <w:footerReference w:type="first" r:id="rId16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* Образовательная организация с максимальным выявленным значением участников из "группы риска".</w:t>
      </w:r>
    </w:p>
    <w:p>
      <w:pPr>
        <w:pStyle w:val="0"/>
        <w:spacing w:before="240" w:lineRule="auto"/>
        <w:jc w:val="both"/>
      </w:pPr>
      <w:r>
        <w:rPr>
          <w:sz w:val="24"/>
        </w:rPr>
        <w:t xml:space="preserve">** Образовательная организация с минимальным выявленным значением участников из "группы риска".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3</w:t>
      </w:r>
    </w:p>
    <w:p>
      <w:pPr>
        <w:pStyle w:val="0"/>
        <w:jc w:val="right"/>
      </w:pPr>
      <w:r>
        <w:rPr>
          <w:sz w:val="24"/>
        </w:rPr>
        <w:t xml:space="preserve">к Приказу</w:t>
      </w:r>
    </w:p>
    <w:p>
      <w:pPr>
        <w:pStyle w:val="0"/>
        <w:jc w:val="right"/>
      </w:pPr>
      <w:r>
        <w:rPr>
          <w:sz w:val="24"/>
        </w:rPr>
        <w:t xml:space="preserve">Министерства здравоохранения</w:t>
      </w:r>
    </w:p>
    <w:p>
      <w:pPr>
        <w:pStyle w:val="0"/>
        <w:jc w:val="right"/>
      </w:pPr>
      <w:r>
        <w:rPr>
          <w:sz w:val="24"/>
        </w:rPr>
        <w:t xml:space="preserve">Свердловской области</w:t>
      </w:r>
    </w:p>
    <w:p>
      <w:pPr>
        <w:pStyle w:val="0"/>
        <w:jc w:val="right"/>
      </w:pPr>
      <w:r>
        <w:rPr>
          <w:sz w:val="24"/>
        </w:rPr>
        <w:t xml:space="preserve">и Министерства образования</w:t>
      </w:r>
    </w:p>
    <w:p>
      <w:pPr>
        <w:pStyle w:val="0"/>
        <w:jc w:val="right"/>
      </w:pPr>
      <w:r>
        <w:rPr>
          <w:sz w:val="24"/>
        </w:rPr>
        <w:t xml:space="preserve">Свердловской области</w:t>
      </w:r>
    </w:p>
    <w:p>
      <w:pPr>
        <w:pStyle w:val="0"/>
        <w:jc w:val="right"/>
      </w:pPr>
      <w:r>
        <w:rPr>
          <w:sz w:val="24"/>
        </w:rPr>
        <w:t xml:space="preserve">от 19 ноября 2025 г. N 2186-п/813-Д</w:t>
      </w:r>
    </w:p>
    <w:p>
      <w:pPr>
        <w:pStyle w:val="0"/>
        <w:jc w:val="both"/>
      </w:pPr>
      <w:r>
        <w:rPr>
          <w:sz w:val="24"/>
        </w:rPr>
      </w:r>
    </w:p>
    <w:bookmarkStart w:id="209" w:name="P209"/>
    <w:bookmarkEnd w:id="209"/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МЕДИЦИНСКИХ ОРГАНИЗАЦИЙ, ОТВЕТСТВЕННЫХ ЗА ПРОВЕДЕНИЕ</w:t>
      </w:r>
    </w:p>
    <w:p>
      <w:pPr>
        <w:pStyle w:val="2"/>
        <w:jc w:val="center"/>
      </w:pPr>
      <w:r>
        <w:rPr>
          <w:sz w:val="24"/>
        </w:rPr>
        <w:t xml:space="preserve">ПРОФИЛАКТИЧЕСКИХ МЕДИЦИНСКИХ ОСМОТРОВ ОБУЧАЮЩИХСЯ</w:t>
      </w:r>
    </w:p>
    <w:p>
      <w:pPr>
        <w:pStyle w:val="2"/>
        <w:jc w:val="center"/>
      </w:pPr>
      <w:r>
        <w:rPr>
          <w:sz w:val="24"/>
        </w:rPr>
        <w:t xml:space="preserve">ОБРАЗОВАТЕЛЬНЫХ ОРГАНИЗАЦИЙ, РАСПОЛОЖЕННЫХ НА ТЕРРИТОРИИ</w:t>
      </w:r>
    </w:p>
    <w:p>
      <w:pPr>
        <w:pStyle w:val="2"/>
        <w:jc w:val="center"/>
      </w:pPr>
      <w:r>
        <w:rPr>
          <w:sz w:val="24"/>
        </w:rPr>
        <w:t xml:space="preserve">МУНИЦИПАЛЬНЫХ ОБРАЗОВАНИЙ, РАСПОЛОЖЕННЫХ НА ТЕРРИТОРИИ</w:t>
      </w:r>
    </w:p>
    <w:p>
      <w:pPr>
        <w:pStyle w:val="2"/>
        <w:jc w:val="center"/>
      </w:pPr>
      <w:r>
        <w:rPr>
          <w:sz w:val="24"/>
        </w:rPr>
        <w:t xml:space="preserve">СВЕРДЛОВСКОЙ ОБЛАСТИ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7"/>
        <w:gridCol w:w="4195"/>
        <w:gridCol w:w="3969"/>
      </w:tblGrid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Номер строки</w:t>
            </w:r>
          </w:p>
        </w:tc>
        <w:tc>
          <w:tcPr>
            <w:tcW w:w="419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медицинской организации</w:t>
            </w:r>
          </w:p>
        </w:tc>
        <w:tc>
          <w:tcPr>
            <w:tcW w:w="396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Прикрепленные муниципальные образования, расположенные на территории Свердловской области, для проведения профилактических медицинских осмотров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419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396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gridSpan w:val="2"/>
            <w:tcW w:w="8164" w:type="dxa"/>
          </w:tcPr>
          <w:p>
            <w:pPr>
              <w:pStyle w:val="0"/>
              <w:outlineLvl w:val="1"/>
              <w:jc w:val="center"/>
            </w:pPr>
            <w:r>
              <w:rPr>
                <w:sz w:val="24"/>
              </w:rPr>
              <w:t xml:space="preserve">Южный управленческий округ Свердловской области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ГАУЗ СО "Свердловская областная психиатрическая клиническая больница" филиал "Южная психиатрическая больница", г. Асбест</w:t>
            </w:r>
          </w:p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Асбестовский городской округ, Малышевский городской округ, городской округ Рефтинский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ГАУЗ СО "Белоярская центральная районная больница"</w:t>
            </w:r>
          </w:p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Белоярский городской округ, городской округ Верхнее Дуброво, городской округ ЗАТО Уральский Свердловской области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ГАУЗ СО "Богдановичская центральная районная больница"</w:t>
            </w:r>
          </w:p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городской округ Богданович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ГАУЗ СО "Свердловская областная психиатрическая клиническая больница", филиал "Южная психиатрическая больница", г. Каменск-Уральский</w:t>
            </w:r>
          </w:p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Каменск-Уральский городской округ Свердловской области, Каменский городской округ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ГАУЗ СО "Сухоложская центральная районная больница"</w:t>
            </w:r>
          </w:p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городской округ Сухой Лог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ГАУЗ СО "Арамильская городская больница"</w:t>
            </w:r>
          </w:p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Арамильский городской округ Свердловской области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8.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ГАУЗ СО "Березовская центральная городская больница"</w:t>
            </w:r>
          </w:p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Березовский городской округ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9.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ГАУЗ СО "Сысертская центральная районная больница"</w:t>
            </w:r>
          </w:p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Сысертский городской округ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10.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ФБУЗ "Медико-санитарная часть N 32" Федерального медико-биологического агентства, г. Заречный</w:t>
            </w:r>
          </w:p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городской округ Заречный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11.</w:t>
            </w:r>
          </w:p>
        </w:tc>
        <w:tc>
          <w:tcPr>
            <w:gridSpan w:val="2"/>
            <w:tcW w:w="8164" w:type="dxa"/>
          </w:tcPr>
          <w:p>
            <w:pPr>
              <w:pStyle w:val="0"/>
              <w:outlineLvl w:val="1"/>
              <w:jc w:val="center"/>
            </w:pPr>
            <w:r>
              <w:rPr>
                <w:sz w:val="24"/>
              </w:rPr>
              <w:t xml:space="preserve">Горнозаводской управленческий округ Свердловской области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12.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ГАУЗ СО "Верх-Нейвинская городская поликлиника"</w:t>
            </w:r>
          </w:p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городской округ Верх-Нейвинский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13.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ГБУЗ СО "Верхнесалдинская центральная районная больница"</w:t>
            </w:r>
          </w:p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Верхнесалдинский городской округ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14.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ГАУЗ СО "Городская больница г. Верхний Тагил"</w:t>
            </w:r>
          </w:p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городской округ Верхний Тагил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15.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ГБУЗ СО "Центральная городская больница г. Верхняя Тура"</w:t>
            </w:r>
          </w:p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Городской округ Верхняя Тура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16.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ГАУЗ СО "Кировградская центральная районная больница"</w:t>
            </w:r>
          </w:p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Кировградский городской округ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17.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ГАУЗ СО "Центральная районная больница г. Кушва"</w:t>
            </w:r>
          </w:p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Кушвинский городской округ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18.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ГАУЗ СО "Невьянская центральная районная больница"</w:t>
            </w:r>
          </w:p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Невьянский городской округ Свердловской области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19.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ГАУЗ СО "Психиатрическая больница N 7"</w:t>
            </w:r>
          </w:p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город Нижний Тагил, Горноуральский городской округ, городской округ ЗАТО Свободный Свердловской области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20.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ГБУЗ СО "Нижнесалдинская центральная городская больница"</w:t>
            </w:r>
          </w:p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городской округ Нижняя Салда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21.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ФГБУЗ "Центральная медико-санитарная часть N 31 Федерального медико-биологического агентства", г. Новоуральск</w:t>
            </w:r>
          </w:p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Новоуральский городской округ Свердловской области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22.</w:t>
            </w:r>
          </w:p>
        </w:tc>
        <w:tc>
          <w:tcPr>
            <w:gridSpan w:val="2"/>
            <w:tcW w:w="8164" w:type="dxa"/>
          </w:tcPr>
          <w:p>
            <w:pPr>
              <w:pStyle w:val="0"/>
              <w:outlineLvl w:val="1"/>
              <w:jc w:val="center"/>
            </w:pPr>
            <w:r>
              <w:rPr>
                <w:sz w:val="24"/>
              </w:rPr>
              <w:t xml:space="preserve">Северный управленческий округ Свердловской области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23.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ГАУЗ СО "Центральная районная больница Верхотурского района"</w:t>
            </w:r>
          </w:p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городской округ Верхотурский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24.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ГАУЗ СО "Свердловская областная психиатрическая клиническая больница" филиал "Северная психиатрическая больница", г. Волчанск</w:t>
            </w:r>
          </w:p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Волчанский городской округ (д. Марсяты, д. Андриановичи)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25.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ГАУЗ СО "Свердловская областная психиатрическая клиническая больница" филиал "Северная психиатрическая больница", г. Серов</w:t>
            </w:r>
          </w:p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Серовский городской округ Сосьвинский городской округ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26.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ГБУЗ СО "Ивдельская центральная районная больница"</w:t>
            </w:r>
          </w:p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Ивдельский городской округ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27.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ГАУЗ СО "Карпинская центральная городская больница"</w:t>
            </w:r>
          </w:p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городской округ Карпинск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28.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ГАУЗ СО "Качканарская центральная районная больница"</w:t>
            </w:r>
          </w:p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Качканарский городской округ Свердловской области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29.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ГАУЗ СО "Свердловская областная психиатрическая клиническая больница" филиал "Северная психиатрическая больница", г. Краснотурьинск</w:t>
            </w:r>
          </w:p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городской округ Краснотурьинск, Гаринский городской округ, городской округ Пелым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30.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ГАУЗ СО "Красноуральская центральная районная больница"</w:t>
            </w:r>
          </w:p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городской округ Красноуральск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31.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ГБУЗ СО "Нижнетуринская центральная районная больница"</w:t>
            </w:r>
          </w:p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Нижнетуринский городской округ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32.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ГБУЗ СО "Новолялинская районная больница"</w:t>
            </w:r>
          </w:p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Новолялинский городской округ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33.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ГАУЗ СО "Североуральская центральная городская больница"</w:t>
            </w:r>
          </w:p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Североуральский городской округ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34.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ФГБУЗ "Центральная медико-санитарная часть N 91 Федерального медико-биологического агентства", г. Лесной</w:t>
            </w:r>
          </w:p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городской округ "Город Лесной" Свердловской области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35.</w:t>
            </w:r>
          </w:p>
        </w:tc>
        <w:tc>
          <w:tcPr>
            <w:gridSpan w:val="2"/>
            <w:tcW w:w="8164" w:type="dxa"/>
          </w:tcPr>
          <w:p>
            <w:pPr>
              <w:pStyle w:val="0"/>
              <w:outlineLvl w:val="1"/>
              <w:jc w:val="center"/>
            </w:pPr>
            <w:r>
              <w:rPr>
                <w:sz w:val="24"/>
              </w:rPr>
              <w:t xml:space="preserve">Западный управленческий округ Свердловской области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36.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ГАУЗ СО "Артинская центральная районная больница"</w:t>
            </w:r>
          </w:p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Артинский городской округ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37.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ГБУЗ СО "Ачитская центральная районная больница"</w:t>
            </w:r>
          </w:p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Ачитский городской округ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38.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ГАУЗ СО "Бисертская районная больница"</w:t>
            </w:r>
          </w:p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Бисертский городской округ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39.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ГАУЗ СО "Верхнепышминская центральная городская клиническая больница им. П.Д. Бородина"</w:t>
            </w:r>
          </w:p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городской округ Верхняя Пышма, городской округ Среднеуральск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40.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ГБУЗ СО "Дегтярская городская больница"</w:t>
            </w:r>
          </w:p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городской округ Дегтярск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41.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ГАУЗ СО "Красноуфимская центральная районная больница"</w:t>
            </w:r>
          </w:p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городской округ Красноуфимск Свердловской области, Муниципальное образование Красноуфимский округ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42.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ГАУЗ СО "Нижнесергинская центральная районная больница"</w:t>
            </w:r>
          </w:p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Нижнесергинский муниципальный район Свердловской области, Кленовское сельское поселение, городское поселение Михайловское, городское поселение Верхние Серги, Нижнесергинское городское поселение, городское поселение Атиг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43.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ГАУЗ СО "Свердловская областная психиатрическая клиническая больница" филиал "Первоуральская психиатрическая больница"</w:t>
            </w:r>
          </w:p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городской округ Первоуральск, городской округ Староуткинск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44.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ГАУЗ СО "Свердловская областная психиатрическая клиническая больница" филиал "Полевская психиатрическая больница"</w:t>
            </w:r>
          </w:p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Полевской городской округ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45.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ГАУЗ СО "Ревдинская городская больница"</w:t>
            </w:r>
          </w:p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городской округ Ревда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46.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ГАУЗ СО "Шалинская центральная районная больница"</w:t>
            </w:r>
          </w:p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Шалинский городской округ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47.</w:t>
            </w:r>
          </w:p>
        </w:tc>
        <w:tc>
          <w:tcPr>
            <w:gridSpan w:val="2"/>
            <w:tcW w:w="8164" w:type="dxa"/>
          </w:tcPr>
          <w:p>
            <w:pPr>
              <w:pStyle w:val="0"/>
              <w:outlineLvl w:val="1"/>
              <w:jc w:val="center"/>
            </w:pPr>
            <w:r>
              <w:rPr>
                <w:sz w:val="24"/>
              </w:rPr>
              <w:t xml:space="preserve">Восточный управленческий округ Свердловской области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48.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ГАУЗ СО "Алапаевская центральная районная больница"</w:t>
            </w:r>
          </w:p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Муниципальное образование Алапаевское, Махнёвское муниципальное образование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49.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ГАУЗ СО "Алапаевская городская больница"</w:t>
            </w:r>
          </w:p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Муниципальное образование город Алапаевск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50.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ГАУЗ СО "Артемовская центральная районная больница"</w:t>
            </w:r>
          </w:p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Артемовский городской округ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51.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ГАУЗ СО "Байкаловская центральная районная больница"</w:t>
            </w:r>
          </w:p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Байкаловский муниципальный район Свердловской области, Байкаловское сельское поселение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52.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ГАУЗ СО "Ирбитская центральная городская больница"</w:t>
            </w:r>
          </w:p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Ирбитское муниципальное образование, Городской округ "город Ирбит" Свердловской области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53.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ГАУЗ СО "Камышловская центральная районная больница"</w:t>
            </w:r>
          </w:p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Камышловский муниципальный район Свердловской области, муниципальное образование "Галкинское сельское поселение", муниципальное образование "Восточное сельское поселение", муниципальное образование Калиновское сельское поселение, муниципальное образование "Обуховское сельское поселение"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54.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ГАУЗ СО "Пышминская центральная районная больница"</w:t>
            </w:r>
          </w:p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Пышминский городской округ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55.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ГАУЗ СО "Режевская центральная районная больница"</w:t>
            </w:r>
          </w:p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Режевской городской округ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56.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ГАУЗ СО "Слободо-Туринская центральная районная больница"</w:t>
            </w:r>
          </w:p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Слободо-Туринский муниципальный район Свердловской области, Усть-Ницинское сельское поселение, Слободо-Туринское сельское поселение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57.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ГАУЗ СО "Тавдинская центральная районная больница"</w:t>
            </w:r>
          </w:p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Тавдинский городской округ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58.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ГАУЗ СО "Талицкая центральная районная больница"</w:t>
            </w:r>
          </w:p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Талицкий городской округ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59.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ГАУЗ СО "Тугулымская центральная районная больница"</w:t>
            </w:r>
          </w:p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Тугулымский городской округ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60.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ГАУЗ СО "Туринская центральная районная больница им. О.Д. Зубова"</w:t>
            </w:r>
          </w:p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Туринский городской округ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61.</w:t>
            </w:r>
          </w:p>
        </w:tc>
        <w:tc>
          <w:tcPr>
            <w:gridSpan w:val="2"/>
            <w:tcW w:w="8164" w:type="dxa"/>
          </w:tcPr>
          <w:p>
            <w:pPr>
              <w:pStyle w:val="0"/>
              <w:outlineLvl w:val="1"/>
              <w:jc w:val="center"/>
            </w:pPr>
            <w:r>
              <w:rPr>
                <w:sz w:val="24"/>
              </w:rPr>
              <w:t xml:space="preserve">Вне управленческих округов Свердловской области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62.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ГАУЗ СО "Областная наркологическая больница"</w:t>
            </w:r>
          </w:p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муниципальное образование "город Екатеринбург"</w:t>
            </w:r>
          </w:p>
        </w:tc>
      </w:tr>
      <w:tr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63.</w:t>
            </w:r>
          </w:p>
        </w:tc>
        <w:tc>
          <w:tcPr>
            <w:tcW w:w="4195" w:type="dxa"/>
          </w:tcPr>
          <w:p>
            <w:pPr>
              <w:pStyle w:val="0"/>
            </w:pPr>
            <w:r>
              <w:rPr>
                <w:sz w:val="24"/>
              </w:rPr>
              <w:t xml:space="preserve">Филиал "Детство" ГАУЗ СО "Свердловская областная клиническая психиатрическая больница"</w:t>
            </w:r>
          </w:p>
        </w:tc>
        <w:tc>
          <w:tcPr>
            <w:tcW w:w="3969" w:type="dxa"/>
          </w:tcPr>
          <w:p>
            <w:pPr>
              <w:pStyle w:val="0"/>
            </w:pPr>
            <w:r>
              <w:rPr>
                <w:sz w:val="24"/>
              </w:rPr>
              <w:t xml:space="preserve">муниципальное образование "город Екатеринбург"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Список используемых сокращений: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ГБУЗ СО - государственное бюджетное учреждение здравоохранения Свердловской области;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ГАУЗ СО - государственное автономное учреждение здравоохранения Свердловской области;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ФГБУЗ - федеральное государственное бюджетное учреждение здравоохранения;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ФБУЗ - федеральное бюджетное учреждение здравоохранения.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4</w:t>
      </w:r>
    </w:p>
    <w:p>
      <w:pPr>
        <w:pStyle w:val="0"/>
        <w:jc w:val="right"/>
      </w:pPr>
      <w:r>
        <w:rPr>
          <w:sz w:val="24"/>
        </w:rPr>
        <w:t xml:space="preserve">к Приказу</w:t>
      </w:r>
    </w:p>
    <w:p>
      <w:pPr>
        <w:pStyle w:val="0"/>
        <w:jc w:val="right"/>
      </w:pPr>
      <w:r>
        <w:rPr>
          <w:sz w:val="24"/>
        </w:rPr>
        <w:t xml:space="preserve">Министерства здравоохранения</w:t>
      </w:r>
    </w:p>
    <w:p>
      <w:pPr>
        <w:pStyle w:val="0"/>
        <w:jc w:val="right"/>
      </w:pPr>
      <w:r>
        <w:rPr>
          <w:sz w:val="24"/>
        </w:rPr>
        <w:t xml:space="preserve">Свердловской области</w:t>
      </w:r>
    </w:p>
    <w:p>
      <w:pPr>
        <w:pStyle w:val="0"/>
        <w:jc w:val="right"/>
      </w:pPr>
      <w:r>
        <w:rPr>
          <w:sz w:val="24"/>
        </w:rPr>
        <w:t xml:space="preserve">и Министерства образования</w:t>
      </w:r>
    </w:p>
    <w:p>
      <w:pPr>
        <w:pStyle w:val="0"/>
        <w:jc w:val="right"/>
      </w:pPr>
      <w:r>
        <w:rPr>
          <w:sz w:val="24"/>
        </w:rPr>
        <w:t xml:space="preserve">Свердловской области</w:t>
      </w:r>
    </w:p>
    <w:p>
      <w:pPr>
        <w:pStyle w:val="0"/>
        <w:jc w:val="right"/>
      </w:pPr>
      <w:r>
        <w:rPr>
          <w:sz w:val="24"/>
        </w:rPr>
        <w:t xml:space="preserve">от 19 ноября 2025 г. N 2186-п/813-Д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  <w:t xml:space="preserve">Форма</w:t>
      </w:r>
    </w:p>
    <w:p>
      <w:pPr>
        <w:pStyle w:val="0"/>
        <w:jc w:val="both"/>
      </w:pPr>
      <w:r>
        <w:rPr>
          <w:sz w:val="24"/>
        </w:rPr>
      </w:r>
    </w:p>
    <w:bookmarkStart w:id="426" w:name="P426"/>
    <w:bookmarkEnd w:id="426"/>
    <w:p>
      <w:pPr>
        <w:pStyle w:val="0"/>
        <w:jc w:val="center"/>
      </w:pPr>
      <w:r>
        <w:rPr>
          <w:sz w:val="24"/>
        </w:rPr>
        <w:t xml:space="preserve">ОТЧЕТ</w:t>
      </w:r>
    </w:p>
    <w:p>
      <w:pPr>
        <w:pStyle w:val="0"/>
        <w:jc w:val="center"/>
      </w:pPr>
      <w:r>
        <w:rPr>
          <w:sz w:val="24"/>
        </w:rPr>
        <w:t xml:space="preserve">о ходе проведения профилактических медицинских осмотров</w:t>
      </w:r>
    </w:p>
    <w:p>
      <w:pPr>
        <w:pStyle w:val="0"/>
        <w:jc w:val="center"/>
      </w:pPr>
      <w:r>
        <w:rPr>
          <w:sz w:val="24"/>
        </w:rPr>
        <w:t xml:space="preserve">(с нарастающим итогом)</w:t>
      </w:r>
    </w:p>
    <w:p>
      <w:pPr>
        <w:pStyle w:val="0"/>
        <w:jc w:val="both"/>
      </w:pPr>
      <w:r>
        <w:rPr>
          <w:sz w:val="24"/>
        </w:rPr>
      </w:r>
    </w:p>
    <w:p>
      <w:pPr>
        <w:sectPr>
          <w:headerReference w:type="default" r:id="rId6"/>
          <w:headerReference w:type="first" r:id="rId6"/>
          <w:footerReference w:type="default" r:id="rId7"/>
          <w:footerReference w:type="first" r:id="rId7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W w:w="5000" w:type="pct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835"/>
        <w:gridCol w:w="1701"/>
        <w:gridCol w:w="2154"/>
        <w:gridCol w:w="794"/>
        <w:gridCol w:w="680"/>
        <w:gridCol w:w="964"/>
        <w:gridCol w:w="1474"/>
        <w:gridCol w:w="1191"/>
        <w:gridCol w:w="907"/>
        <w:gridCol w:w="1020"/>
        <w:gridCol w:w="1020"/>
        <w:gridCol w:w="907"/>
        <w:gridCol w:w="907"/>
        <w:gridCol w:w="1134"/>
        <w:gridCol w:w="1134"/>
        <w:gridCol w:w="1020"/>
      </w:tblGrid>
      <w:tr>
        <w:tc>
          <w:tcPr>
            <w:tcW w:w="2835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Тип организации</w:t>
            </w:r>
          </w:p>
        </w:tc>
        <w:tc>
          <w:tcPr>
            <w:tcW w:w="1701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Число обучающихся, прошедших профилактические медицинские осмотры</w:t>
            </w:r>
          </w:p>
        </w:tc>
        <w:tc>
          <w:tcPr>
            <w:tcW w:w="2154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Число обучающихся или их законных представителей, отказавшихся от прохождения профилактических медицинских осмотров</w:t>
            </w:r>
          </w:p>
        </w:tc>
        <w:tc>
          <w:tcPr>
            <w:gridSpan w:val="10"/>
            <w:tcW w:w="98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Число обучающихся, у которых при проведении профилактических медицинских осмотров установлен факт незаконного употребления наркотиков и иных психотропных веществ (по результатам подтверждающего химико-токсикологического исследования)</w:t>
            </w:r>
          </w:p>
        </w:tc>
        <w:tc>
          <w:tcPr>
            <w:gridSpan w:val="3"/>
            <w:tcW w:w="328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Число лиц, выявленных в ходе профилактических медицинских осмотров, нуждающихся в диспансерном наблюдении: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gridSpan w:val="10"/>
            <w:tcW w:w="98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 том числе (из гр. 4):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 связи с употреблением алкоголя</w:t>
            </w:r>
          </w:p>
        </w:tc>
        <w:tc>
          <w:tcPr>
            <w:tcW w:w="1134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 связи с употреблением ненаркотических веществ</w:t>
            </w:r>
          </w:p>
        </w:tc>
        <w:tc>
          <w:tcPr>
            <w:tcW w:w="1020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 связи с употреблением табака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всего (из гр. 2)</w:t>
            </w:r>
          </w:p>
        </w:tc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опиоиды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каннабиноиды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фенилалкиламины (амфетамин, метамфетамин)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синтетические катиноны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кокаин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метадон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бензодиазепины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барбитураты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фенциклидин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</w:tr>
      <w:tr>
        <w:tc>
          <w:tcPr>
            <w:tcW w:w="283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70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215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79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68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5</w:t>
            </w:r>
          </w:p>
        </w:tc>
        <w:tc>
          <w:tcPr>
            <w:tcW w:w="96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6</w:t>
            </w:r>
          </w:p>
        </w:tc>
        <w:tc>
          <w:tcPr>
            <w:tcW w:w="147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7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8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9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10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11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12</w:t>
            </w:r>
          </w:p>
        </w:tc>
        <w:tc>
          <w:tcPr>
            <w:tcW w:w="90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13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14</w:t>
            </w:r>
          </w:p>
        </w:tc>
        <w:tc>
          <w:tcPr>
            <w:tcW w:w="113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15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16</w:t>
            </w:r>
          </w:p>
        </w:tc>
      </w:tr>
      <w:tr>
        <w:tc>
          <w:tcPr>
            <w:tcW w:w="2835" w:type="dxa"/>
          </w:tcPr>
          <w:p>
            <w:pPr>
              <w:pStyle w:val="0"/>
            </w:pPr>
            <w:r>
              <w:rPr>
                <w:sz w:val="24"/>
              </w:rPr>
              <w:t xml:space="preserve">Всего, в том числе: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8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835" w:type="dxa"/>
          </w:tcPr>
          <w:p>
            <w:pPr>
              <w:pStyle w:val="0"/>
            </w:pPr>
            <w:r>
              <w:rPr>
                <w:sz w:val="24"/>
              </w:rPr>
              <w:t xml:space="preserve">в общеобразовательных организациях, всего, из них: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8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835" w:type="dxa"/>
          </w:tcPr>
          <w:p>
            <w:pPr>
              <w:pStyle w:val="0"/>
            </w:pPr>
            <w:r>
              <w:rPr>
                <w:sz w:val="24"/>
              </w:rPr>
              <w:t xml:space="preserve">МОУ СОШ N А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8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835" w:type="dxa"/>
          </w:tcPr>
          <w:p>
            <w:pPr>
              <w:pStyle w:val="0"/>
            </w:pPr>
            <w:r>
              <w:rPr>
                <w:sz w:val="24"/>
              </w:rPr>
              <w:t xml:space="preserve">МОУ СОШ N В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8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835" w:type="dxa"/>
          </w:tcPr>
          <w:p>
            <w:pPr>
              <w:pStyle w:val="0"/>
            </w:pPr>
            <w:r>
              <w:rPr>
                <w:sz w:val="24"/>
              </w:rPr>
              <w:t xml:space="preserve">...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8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835" w:type="dxa"/>
          </w:tcPr>
          <w:p>
            <w:pPr>
              <w:pStyle w:val="0"/>
            </w:pPr>
            <w:r>
              <w:rPr>
                <w:sz w:val="24"/>
              </w:rPr>
              <w:t xml:space="preserve">в профессиональных образовательных организациях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8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835" w:type="dxa"/>
          </w:tcPr>
          <w:p>
            <w:pPr>
              <w:pStyle w:val="0"/>
            </w:pPr>
            <w:r>
              <w:rPr>
                <w:sz w:val="24"/>
              </w:rPr>
              <w:t xml:space="preserve">ГБПОУ А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8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835" w:type="dxa"/>
          </w:tcPr>
          <w:p>
            <w:pPr>
              <w:pStyle w:val="0"/>
            </w:pPr>
            <w:r>
              <w:rPr>
                <w:sz w:val="24"/>
              </w:rPr>
              <w:t xml:space="preserve">ГБПОУ В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8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835" w:type="dxa"/>
          </w:tcPr>
          <w:p>
            <w:pPr>
              <w:pStyle w:val="0"/>
            </w:pPr>
            <w:r>
              <w:rPr>
                <w:sz w:val="24"/>
              </w:rPr>
              <w:t xml:space="preserve">...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8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right w:val="nil"/>
          </w:tblBorders>
        </w:tblPrEx>
        <w:tc>
          <w:tcPr>
            <w:tcW w:w="283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8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right w:val="nil"/>
          </w:tblBorders>
        </w:tblPrEx>
        <w:tc>
          <w:tcPr>
            <w:tcW w:w="2835" w:type="dxa"/>
          </w:tcPr>
          <w:p>
            <w:pPr>
              <w:pStyle w:val="0"/>
            </w:pPr>
            <w:r>
              <w:rPr>
                <w:sz w:val="24"/>
              </w:rPr>
              <w:t xml:space="preserve">в образовательных организациях высшего образования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8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right w:val="nil"/>
          </w:tblBorders>
        </w:tblPrEx>
        <w:tc>
          <w:tcPr>
            <w:tcW w:w="2835" w:type="dxa"/>
          </w:tcPr>
          <w:p>
            <w:pPr>
              <w:pStyle w:val="0"/>
            </w:pPr>
            <w:r>
              <w:rPr>
                <w:sz w:val="24"/>
              </w:rPr>
              <w:t xml:space="preserve">ВУЗ А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8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right w:val="nil"/>
          </w:tblBorders>
        </w:tblPrEx>
        <w:tc>
          <w:tcPr>
            <w:tcW w:w="2835" w:type="dxa"/>
          </w:tcPr>
          <w:p>
            <w:pPr>
              <w:pStyle w:val="0"/>
            </w:pPr>
            <w:r>
              <w:rPr>
                <w:sz w:val="24"/>
              </w:rPr>
              <w:t xml:space="preserve">ВУЗ В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8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835" w:type="dxa"/>
          </w:tcPr>
          <w:p>
            <w:pPr>
              <w:pStyle w:val="0"/>
            </w:pPr>
            <w:r>
              <w:rPr>
                <w:sz w:val="24"/>
              </w:rPr>
              <w:t xml:space="preserve">...</w:t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15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9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68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6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47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tcBorders>
              <w:lef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7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34" w:type="dxa"/>
            <w:tcBorders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20" w:type="dxa"/>
            <w:tcBorders>
              <w:lef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sectPr>
          <w:headerReference w:type="default" r:id="rId15"/>
          <w:headerReference w:type="first" r:id="rId15"/>
          <w:footerReference w:type="default" r:id="rId16"/>
          <w:footerReference w:type="first" r:id="rId16"/>
          <w:pgSz w:w="16838" w:h="11906" w:orient="landscape"/>
          <w:pgMar w:top="1133" w:right="397" w:bottom="566" w:left="397" w:header="0" w:footer="0" w:gutter="0"/>
          <w:titlePg/>
        </w:sectPr>
      </w:pP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Список используемых сокращений: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МОУ СОШ - муниципальное образовательное учреждение средняя общеобразовательная школа;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ГБПОУ - государственное бюджетное профессиональное образовательное учреждение;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ВУЗ - высшее учебное заведение.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170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Минздрава Свердловской области N 2186-п, Министерства образования Свердловской области N 813-Д от 19.11.2025</w:t>
            <w:br/>
            <w:t>"О п...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19.12.2025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190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Минздрава Свердловской области N 2186-п, Министерства образования Свердловской области N 813-Д от 19.11.2025</w:t>
            <w:br/>
            <w:t>"О п...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19.12.2025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471038&amp;date=19.12.2025&amp;dst=274&amp;field=134" TargetMode = "External"/><Relationship Id="rId9" Type="http://schemas.openxmlformats.org/officeDocument/2006/relationships/hyperlink" Target="https://login.consultant.ru/link/?req=doc&amp;base=LAW&amp;n=502265&amp;date=19.12.2025" TargetMode = "External"/><Relationship Id="rId10" Type="http://schemas.openxmlformats.org/officeDocument/2006/relationships/hyperlink" Target="https://login.consultant.ru/link/?req=doc&amp;base=LAW&amp;n=516721&amp;date=19.12.2025&amp;dst=395&amp;field=134" TargetMode = "External"/><Relationship Id="rId11" Type="http://schemas.openxmlformats.org/officeDocument/2006/relationships/hyperlink" Target="https://login.consultant.ru/link/?req=doc&amp;base=LAW&amp;n=506683&amp;date=19.12.2025" TargetMode = "External"/><Relationship Id="rId12" Type="http://schemas.openxmlformats.org/officeDocument/2006/relationships/hyperlink" Target="https://login.consultant.ru/link/?req=doc&amp;base=LAW&amp;n=473280&amp;date=19.12.2025" TargetMode = "External"/><Relationship Id="rId13" Type="http://schemas.openxmlformats.org/officeDocument/2006/relationships/hyperlink" Target="https://login.consultant.ru/link/?req=doc&amp;base=LAW&amp;n=353559&amp;date=19.12.2025" TargetMode = "External"/><Relationship Id="rId14" Type="http://schemas.openxmlformats.org/officeDocument/2006/relationships/hyperlink" Target="https://login.consultant.ru/link/?req=doc&amp;base=LAW&amp;n=502639&amp;date=19.12.2025&amp;dst=100252&amp;field=134" TargetMode = "External"/><Relationship Id="rId15" Type="http://schemas.openxmlformats.org/officeDocument/2006/relationships/header" Target="header2.xml"/><Relationship Id="rId16" Type="http://schemas.openxmlformats.org/officeDocument/2006/relationships/footer" Target="footer2.xm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foot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Минздрава Свердловской области N 2186-п, Министерства образования Свердловской области N 813-Д от 19.11.2025
"О проведении профилактических медицинских осмотров обучающихся в общеобразовательных организациях и профессиональных образовательных организациях, а также образовательных организациях высшего образования по результатам социально-психологического тестирования на территории Свердловской области в 2025/2026 учебном году"
(вместе с "Перечнем медицинских организаций, ответственных за проведение пр</dc:title>
  <dcterms:created xsi:type="dcterms:W3CDTF">2025-12-19T07:58:17Z</dcterms:created>
</cp:coreProperties>
</file>